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2333A" w14:textId="31DCD307" w:rsidR="005C7DD5" w:rsidRDefault="00212C1D" w:rsidP="005269D8">
      <w:pPr>
        <w:jc w:val="center"/>
        <w:rPr>
          <w:rFonts w:ascii="Tahoma" w:hAnsi="Tahoma" w:cs="Tahoma"/>
          <w:b/>
        </w:rPr>
      </w:pPr>
      <w:r>
        <w:rPr>
          <w:rFonts w:ascii="Tahoma" w:hAnsi="Tahoma" w:cs="Tahoma"/>
          <w:b/>
        </w:rPr>
        <w:t xml:space="preserve">CONVOCATORIA </w:t>
      </w:r>
      <w:r w:rsidR="000A2E48" w:rsidRPr="00212C1D">
        <w:rPr>
          <w:rFonts w:ascii="Tahoma" w:hAnsi="Tahoma" w:cs="Tahoma"/>
          <w:b/>
        </w:rPr>
        <w:t>OPD/CMD/SC</w:t>
      </w:r>
      <w:r w:rsidRPr="00212C1D">
        <w:rPr>
          <w:rFonts w:ascii="Tahoma" w:hAnsi="Tahoma" w:cs="Tahoma"/>
          <w:b/>
        </w:rPr>
        <w:t>/</w:t>
      </w:r>
      <w:r w:rsidR="00925080">
        <w:rPr>
          <w:rFonts w:ascii="Tahoma" w:hAnsi="Tahoma" w:cs="Tahoma"/>
          <w:b/>
        </w:rPr>
        <w:t>027</w:t>
      </w:r>
      <w:r w:rsidR="000A2E48" w:rsidRPr="00212C1D">
        <w:rPr>
          <w:rFonts w:ascii="Tahoma" w:hAnsi="Tahoma" w:cs="Tahoma"/>
          <w:b/>
        </w:rPr>
        <w:t>/</w:t>
      </w:r>
      <w:r w:rsidR="00DE1968">
        <w:rPr>
          <w:rFonts w:ascii="Tahoma" w:hAnsi="Tahoma" w:cs="Tahoma"/>
          <w:b/>
        </w:rPr>
        <w:t>2025</w:t>
      </w:r>
      <w:r w:rsidR="000A2E48" w:rsidRPr="00212C1D">
        <w:rPr>
          <w:rFonts w:ascii="Tahoma" w:hAnsi="Tahoma" w:cs="Tahoma"/>
          <w:b/>
        </w:rPr>
        <w:t xml:space="preserve"> </w:t>
      </w:r>
      <w:bookmarkStart w:id="0" w:name="_Hlk183780855"/>
      <w:bookmarkStart w:id="1" w:name="_Hlk191642343"/>
      <w:r w:rsidR="00247064" w:rsidRPr="00212C1D">
        <w:rPr>
          <w:rFonts w:ascii="Tahoma" w:hAnsi="Tahoma" w:cs="Tahoma"/>
          <w:b/>
        </w:rPr>
        <w:t>“</w:t>
      </w:r>
      <w:bookmarkStart w:id="2" w:name="_Hlk196826035"/>
      <w:r w:rsidR="005C7DD5" w:rsidRPr="005C7DD5">
        <w:rPr>
          <w:rFonts w:ascii="Tahoma" w:hAnsi="Tahoma" w:cs="Tahoma"/>
          <w:b/>
        </w:rPr>
        <w:t>SERVICIOS DE SUMINISTRO, ARRENDAMIENTO, ORGANIZACIÓN Y LOGÍSTICA DE BIENES Y SERVICIOS PARA EL DESARO</w:t>
      </w:r>
      <w:r w:rsidR="00732427">
        <w:rPr>
          <w:rFonts w:ascii="Tahoma" w:hAnsi="Tahoma" w:cs="Tahoma"/>
          <w:b/>
        </w:rPr>
        <w:t>L</w:t>
      </w:r>
      <w:r w:rsidR="005C7DD5" w:rsidRPr="005C7DD5">
        <w:rPr>
          <w:rFonts w:ascii="Tahoma" w:hAnsi="Tahoma" w:cs="Tahoma"/>
          <w:b/>
        </w:rPr>
        <w:t>LO DEL EVENTO</w:t>
      </w:r>
      <w:r w:rsidR="00732427">
        <w:rPr>
          <w:rFonts w:ascii="Tahoma" w:hAnsi="Tahoma" w:cs="Tahoma"/>
          <w:b/>
        </w:rPr>
        <w:t xml:space="preserve"> DE </w:t>
      </w:r>
      <w:r w:rsidR="00732427" w:rsidRPr="005C7DD5">
        <w:rPr>
          <w:rFonts w:ascii="Tahoma" w:hAnsi="Tahoma" w:cs="Tahoma"/>
          <w:b/>
        </w:rPr>
        <w:t>LA</w:t>
      </w:r>
      <w:r w:rsidR="005C7DD5" w:rsidRPr="005C7DD5">
        <w:rPr>
          <w:rFonts w:ascii="Tahoma" w:hAnsi="Tahoma" w:cs="Tahoma"/>
          <w:b/>
        </w:rPr>
        <w:t xml:space="preserve"> CUARTA FECHA DE CICLISMO DE MONATAÑA  2025</w:t>
      </w:r>
      <w:r w:rsidR="00732427">
        <w:rPr>
          <w:rFonts w:ascii="Tahoma" w:hAnsi="Tahoma" w:cs="Tahoma"/>
          <w:b/>
        </w:rPr>
        <w:t>,</w:t>
      </w:r>
      <w:r w:rsidR="005C7DD5" w:rsidRPr="005C7DD5">
        <w:rPr>
          <w:rFonts w:ascii="Tahoma" w:hAnsi="Tahoma" w:cs="Tahoma"/>
          <w:b/>
        </w:rPr>
        <w:t xml:space="preserve"> DEL CONSEJO MUNICIPAL DEL DEPORTE DE TLAJOMULCO DE ZÚÑIGA, JALISCO”.</w:t>
      </w:r>
      <w:bookmarkEnd w:id="2"/>
    </w:p>
    <w:bookmarkEnd w:id="0"/>
    <w:bookmarkEnd w:id="1"/>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3" w:name="_Hlk181781580"/>
      <w:r w:rsidRPr="00522C2D">
        <w:rPr>
          <w:rFonts w:ascii="Arial" w:eastAsia="Times New Roman" w:hAnsi="Arial" w:cs="Arial"/>
          <w:kern w:val="0"/>
          <w:szCs w:val="20"/>
          <w:lang w:eastAsia="es-MX"/>
          <w14:ligatures w14:val="none"/>
        </w:rPr>
        <w:t>calle Constitución Oriente no. 157, Int. B, en el Municipio d</w:t>
      </w:r>
      <w:bookmarkStart w:id="4" w:name="_Hlk182046638"/>
      <w:r w:rsidRPr="00522C2D">
        <w:rPr>
          <w:rFonts w:ascii="Arial" w:eastAsia="Times New Roman" w:hAnsi="Arial" w:cs="Arial"/>
          <w:kern w:val="0"/>
          <w:szCs w:val="20"/>
          <w:lang w:eastAsia="es-MX"/>
          <w14:ligatures w14:val="none"/>
        </w:rPr>
        <w:t>e Tlajomulco de Zúñiga, Jalisco</w:t>
      </w:r>
      <w:bookmarkEnd w:id="4"/>
      <w:r w:rsidRPr="00522C2D">
        <w:rPr>
          <w:rFonts w:ascii="Arial" w:eastAsia="Times New Roman" w:hAnsi="Arial" w:cs="Arial"/>
          <w:kern w:val="0"/>
          <w:szCs w:val="20"/>
          <w:lang w:eastAsia="es-MX"/>
          <w14:ligatures w14:val="none"/>
        </w:rPr>
        <w:t xml:space="preserve">, </w:t>
      </w:r>
      <w:bookmarkEnd w:id="3"/>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23854A14"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72908399"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980163">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604C7369" w:rsidR="00522C2D" w:rsidRPr="00522C2D" w:rsidRDefault="005C7DD5" w:rsidP="00522C2D">
            <w:pPr>
              <w:jc w:val="both"/>
              <w:rPr>
                <w:rFonts w:ascii="Arial" w:eastAsia="Calibri" w:hAnsi="Arial" w:cs="Arial"/>
                <w:lang w:eastAsia="es-ES"/>
              </w:rPr>
            </w:pPr>
            <w:r>
              <w:rPr>
                <w:rFonts w:ascii="Arial" w:eastAsia="Calibri" w:hAnsi="Arial" w:cs="Arial"/>
                <w:lang w:eastAsia="es-ES"/>
              </w:rPr>
              <w:t>3391</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522C2D" w:rsidRDefault="00522C2D" w:rsidP="00522C2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11EFBD61" w:rsidR="00522C2D" w:rsidRPr="00522C2D" w:rsidRDefault="00732427" w:rsidP="00522C2D">
            <w:pPr>
              <w:spacing w:after="200" w:line="276" w:lineRule="auto"/>
              <w:jc w:val="both"/>
              <w:rPr>
                <w:rFonts w:ascii="Arial" w:eastAsia="Calibri" w:hAnsi="Arial" w:cs="Arial"/>
                <w:b/>
              </w:rPr>
            </w:pPr>
            <w:r>
              <w:rPr>
                <w:rFonts w:ascii="Arial" w:eastAsia="Calibri" w:hAnsi="Arial" w:cs="Arial"/>
                <w:color w:val="000000"/>
              </w:rPr>
              <w:t>02</w:t>
            </w:r>
            <w:r w:rsidR="005C7DD5">
              <w:rPr>
                <w:rFonts w:ascii="Arial" w:eastAsia="Calibri" w:hAnsi="Arial" w:cs="Arial"/>
                <w:color w:val="000000"/>
              </w:rPr>
              <w:t xml:space="preserve"> </w:t>
            </w:r>
            <w:r>
              <w:rPr>
                <w:rFonts w:ascii="Arial" w:eastAsia="Calibri" w:hAnsi="Arial" w:cs="Arial"/>
                <w:color w:val="000000"/>
              </w:rPr>
              <w:t>mayo</w:t>
            </w:r>
            <w:r w:rsidR="00522C2D" w:rsidRPr="00522C2D">
              <w:rPr>
                <w:rFonts w:ascii="Arial" w:eastAsia="Calibri" w:hAnsi="Arial" w:cs="Arial"/>
                <w:color w:val="000000"/>
              </w:rPr>
              <w:t xml:space="preserve"> del 202</w:t>
            </w:r>
            <w:r w:rsidR="00381D89">
              <w:rPr>
                <w:rFonts w:ascii="Arial" w:eastAsia="Calibri" w:hAnsi="Arial" w:cs="Arial"/>
                <w:color w:val="000000"/>
              </w:rPr>
              <w:t>5</w:t>
            </w:r>
          </w:p>
        </w:tc>
      </w:tr>
      <w:tr w:rsidR="00522C2D" w:rsidRPr="00522C2D" w14:paraId="2ED7C680" w14:textId="77777777" w:rsidTr="005269D8">
        <w:trPr>
          <w:trHeight w:val="544"/>
        </w:trPr>
        <w:tc>
          <w:tcPr>
            <w:tcW w:w="4390" w:type="dxa"/>
          </w:tcPr>
          <w:p w14:paraId="4DC89F01" w14:textId="1668CE9B" w:rsidR="00522C2D" w:rsidRPr="00522C2D" w:rsidRDefault="005C7DD5" w:rsidP="00522C2D">
            <w:pPr>
              <w:jc w:val="both"/>
              <w:rPr>
                <w:rFonts w:ascii="Arial" w:eastAsia="Calibri" w:hAnsi="Arial" w:cs="Arial"/>
              </w:rPr>
            </w:pPr>
            <w:r>
              <w:rPr>
                <w:rFonts w:ascii="Arial" w:hAnsi="Arial" w:cs="Arial"/>
              </w:rPr>
              <w:t xml:space="preserve">Aclaraciones </w:t>
            </w:r>
          </w:p>
        </w:tc>
        <w:tc>
          <w:tcPr>
            <w:tcW w:w="4677" w:type="dxa"/>
          </w:tcPr>
          <w:p w14:paraId="2488CAC6" w14:textId="6D8F539A" w:rsidR="00522C2D" w:rsidRPr="00522C2D" w:rsidRDefault="00732427" w:rsidP="00522C2D">
            <w:pPr>
              <w:spacing w:after="200"/>
              <w:rPr>
                <w:rFonts w:ascii="Arial" w:eastAsia="Calibri" w:hAnsi="Arial" w:cs="Arial"/>
              </w:rPr>
            </w:pPr>
            <w:r>
              <w:rPr>
                <w:rFonts w:ascii="Arial" w:hAnsi="Arial" w:cs="Arial"/>
              </w:rPr>
              <w:t xml:space="preserve">Al </w:t>
            </w:r>
            <w:r w:rsidRPr="00A55771">
              <w:rPr>
                <w:rFonts w:ascii="Arial" w:hAnsi="Arial" w:cs="Arial"/>
              </w:rPr>
              <w:t>correo</w:t>
            </w:r>
            <w:r>
              <w:rPr>
                <w:rFonts w:ascii="Arial" w:hAnsi="Arial" w:cs="Arial"/>
              </w:rPr>
              <w:t xml:space="preserve">: </w:t>
            </w:r>
            <w:r w:rsidRPr="00A55771">
              <w:rPr>
                <w:rFonts w:ascii="Arial" w:hAnsi="Arial" w:cs="Arial"/>
              </w:rPr>
              <w:t>comprascomude@tlajomulco.gob.mx y</w:t>
            </w:r>
            <w:r w:rsidR="005C7DD5">
              <w:rPr>
                <w:rFonts w:ascii="Arial" w:hAnsi="Arial" w:cs="Arial"/>
              </w:rPr>
              <w:t xml:space="preserve"> teléfono </w:t>
            </w:r>
            <w:r w:rsidR="005C7DD5" w:rsidRPr="005C7DD5">
              <w:rPr>
                <w:rFonts w:ascii="Arial" w:hAnsi="Arial" w:cs="Arial"/>
              </w:rPr>
              <w:t>01 (33) 32834400 Ext. 3263</w:t>
            </w:r>
          </w:p>
        </w:tc>
      </w:tr>
      <w:tr w:rsidR="00522C2D" w:rsidRPr="00522C2D" w14:paraId="787A906B" w14:textId="77777777" w:rsidTr="000E3235">
        <w:trPr>
          <w:trHeight w:val="1442"/>
        </w:trPr>
        <w:tc>
          <w:tcPr>
            <w:tcW w:w="4390" w:type="dxa"/>
          </w:tcPr>
          <w:p w14:paraId="26E6FBA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6474CDFC" w:rsidR="00522C2D" w:rsidRPr="00522C2D" w:rsidRDefault="005C7DD5" w:rsidP="00522C2D">
            <w:pPr>
              <w:spacing w:after="200"/>
              <w:jc w:val="both"/>
              <w:rPr>
                <w:rFonts w:ascii="Arial" w:eastAsia="Calibri" w:hAnsi="Arial" w:cs="Arial"/>
                <w:color w:val="000000"/>
              </w:rPr>
            </w:pPr>
            <w:r w:rsidRPr="00925080">
              <w:rPr>
                <w:rFonts w:ascii="Arial" w:eastAsia="Calibri" w:hAnsi="Arial" w:cs="Arial"/>
                <w:color w:val="000000"/>
              </w:rPr>
              <w:t>0</w:t>
            </w:r>
            <w:r w:rsidR="00732427" w:rsidRPr="00925080">
              <w:rPr>
                <w:rFonts w:ascii="Arial" w:eastAsia="Calibri" w:hAnsi="Arial" w:cs="Arial"/>
                <w:color w:val="000000"/>
              </w:rPr>
              <w:t>8</w:t>
            </w:r>
            <w:r w:rsidR="00247064" w:rsidRPr="00925080">
              <w:rPr>
                <w:rFonts w:ascii="Arial" w:eastAsia="Calibri" w:hAnsi="Arial" w:cs="Arial"/>
                <w:color w:val="000000"/>
              </w:rPr>
              <w:t xml:space="preserve"> </w:t>
            </w:r>
            <w:r w:rsidRPr="00925080">
              <w:rPr>
                <w:rFonts w:ascii="Arial" w:eastAsia="Calibri" w:hAnsi="Arial" w:cs="Arial"/>
                <w:color w:val="000000"/>
              </w:rPr>
              <w:t>de mayo</w:t>
            </w:r>
            <w:r w:rsidR="00925080">
              <w:rPr>
                <w:rFonts w:ascii="Arial" w:eastAsia="Calibri" w:hAnsi="Arial" w:cs="Arial"/>
                <w:color w:val="000000"/>
              </w:rPr>
              <w:t xml:space="preserve"> </w:t>
            </w:r>
            <w:r w:rsidR="006750F5" w:rsidRPr="002611D9">
              <w:rPr>
                <w:rFonts w:ascii="Arial" w:eastAsia="Calibri" w:hAnsi="Arial" w:cs="Arial"/>
                <w:color w:val="000000"/>
              </w:rPr>
              <w:t xml:space="preserve">del </w:t>
            </w:r>
            <w:r w:rsidR="002611D9" w:rsidRPr="002611D9">
              <w:rPr>
                <w:rFonts w:ascii="Arial" w:eastAsia="Calibri" w:hAnsi="Arial" w:cs="Arial"/>
                <w:color w:val="000000"/>
              </w:rPr>
              <w:t>2025</w:t>
            </w:r>
            <w:r w:rsidR="002611D9">
              <w:rPr>
                <w:rFonts w:ascii="Arial" w:eastAsia="Calibri" w:hAnsi="Arial" w:cs="Arial"/>
                <w:color w:val="000000"/>
              </w:rPr>
              <w:t xml:space="preserve"> </w:t>
            </w:r>
            <w:r w:rsidR="002611D9" w:rsidRPr="00522C2D">
              <w:rPr>
                <w:rFonts w:ascii="Arial" w:eastAsia="Calibri" w:hAnsi="Arial" w:cs="Arial"/>
                <w:color w:val="000000"/>
              </w:rPr>
              <w:t>a</w:t>
            </w:r>
            <w:r w:rsidR="00522C2D" w:rsidRPr="00522C2D">
              <w:rPr>
                <w:rFonts w:ascii="Arial" w:eastAsia="Calibri" w:hAnsi="Arial" w:cs="Arial"/>
                <w:color w:val="000000"/>
              </w:rPr>
              <w:t xml:space="preserve"> las </w:t>
            </w:r>
            <w:r w:rsidR="00522C2D" w:rsidRPr="00522C2D">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0D06AD35" w:rsidR="00522C2D" w:rsidRPr="00522C2D" w:rsidRDefault="005C7DD5" w:rsidP="00522C2D">
            <w:pPr>
              <w:spacing w:after="200"/>
              <w:jc w:val="both"/>
              <w:rPr>
                <w:rFonts w:ascii="Arial" w:eastAsia="Calibri" w:hAnsi="Arial" w:cs="Arial"/>
                <w:color w:val="000000"/>
              </w:rPr>
            </w:pPr>
            <w:r w:rsidRPr="00925080">
              <w:rPr>
                <w:rFonts w:ascii="Arial" w:eastAsia="Calibri" w:hAnsi="Arial" w:cs="Arial"/>
                <w:color w:val="000000"/>
              </w:rPr>
              <w:t>0</w:t>
            </w:r>
            <w:r w:rsidR="00732427" w:rsidRPr="00925080">
              <w:rPr>
                <w:rFonts w:ascii="Arial" w:eastAsia="Calibri" w:hAnsi="Arial" w:cs="Arial"/>
                <w:color w:val="000000"/>
              </w:rPr>
              <w:t>8</w:t>
            </w:r>
            <w:r w:rsidR="00247064" w:rsidRPr="00925080">
              <w:rPr>
                <w:rFonts w:ascii="Arial" w:eastAsia="Calibri" w:hAnsi="Arial" w:cs="Arial"/>
                <w:color w:val="000000"/>
              </w:rPr>
              <w:t xml:space="preserve"> de </w:t>
            </w:r>
            <w:r w:rsidRPr="00925080">
              <w:rPr>
                <w:rFonts w:ascii="Arial" w:eastAsia="Calibri" w:hAnsi="Arial" w:cs="Arial"/>
                <w:color w:val="000000"/>
              </w:rPr>
              <w:t>mayo</w:t>
            </w:r>
            <w:r w:rsidR="002611D9" w:rsidRPr="00925080">
              <w:rPr>
                <w:rFonts w:ascii="Arial" w:eastAsia="Calibri" w:hAnsi="Arial" w:cs="Arial"/>
                <w:color w:val="000000"/>
              </w:rPr>
              <w:t xml:space="preserve"> del 2025,</w:t>
            </w:r>
            <w:r w:rsidR="00522C2D" w:rsidRPr="00925080">
              <w:rPr>
                <w:rFonts w:ascii="Arial" w:eastAsia="Calibri" w:hAnsi="Arial" w:cs="Arial"/>
                <w:color w:val="000000"/>
              </w:rPr>
              <w:t xml:space="preserve"> a</w:t>
            </w:r>
            <w:r w:rsidR="00522C2D" w:rsidRPr="00522C2D">
              <w:rPr>
                <w:rFonts w:ascii="Arial" w:eastAsia="Calibri" w:hAnsi="Arial" w:cs="Arial"/>
                <w:color w:val="000000"/>
              </w:rPr>
              <w:t xml:space="preserve"> las </w:t>
            </w:r>
            <w:r w:rsidR="00522C2D" w:rsidRPr="00522C2D">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lastRenderedPageBreak/>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tbl>
      <w:tblPr>
        <w:tblStyle w:val="Tablaconcuadrcula1"/>
        <w:tblpPr w:leftFromText="141" w:rightFromText="141" w:vertAnchor="text" w:horzAnchor="margin" w:tblpX="-572" w:tblpY="1275"/>
        <w:tblW w:w="10206" w:type="dxa"/>
        <w:tblLook w:val="04A0" w:firstRow="1" w:lastRow="0" w:firstColumn="1" w:lastColumn="0" w:noHBand="0" w:noVBand="1"/>
      </w:tblPr>
      <w:tblGrid>
        <w:gridCol w:w="1100"/>
        <w:gridCol w:w="7493"/>
        <w:gridCol w:w="1613"/>
      </w:tblGrid>
      <w:tr w:rsidR="00925080" w:rsidRPr="002A0B2A" w14:paraId="74B27E77" w14:textId="77777777" w:rsidTr="005269D8">
        <w:trPr>
          <w:trHeight w:val="240"/>
        </w:trPr>
        <w:tc>
          <w:tcPr>
            <w:tcW w:w="988" w:type="dxa"/>
            <w:shd w:val="clear" w:color="auto" w:fill="000000"/>
            <w:noWrap/>
          </w:tcPr>
          <w:p w14:paraId="683D6196" w14:textId="77777777" w:rsidR="00925080" w:rsidRPr="002A0B2A" w:rsidRDefault="00925080" w:rsidP="005269D8">
            <w:pPr>
              <w:jc w:val="center"/>
              <w:rPr>
                <w:rFonts w:ascii="Verdana" w:eastAsia="Calibri" w:hAnsi="Verdana" w:cs="Times New Roman"/>
                <w:kern w:val="2"/>
                <w:sz w:val="20"/>
                <w:szCs w:val="20"/>
                <w14:ligatures w14:val="standardContextual"/>
              </w:rPr>
            </w:pPr>
            <w:r w:rsidRPr="002A0B2A">
              <w:rPr>
                <w:rFonts w:ascii="Verdana" w:eastAsia="Calibri" w:hAnsi="Verdana" w:cs="Times New Roman"/>
                <w:kern w:val="2"/>
                <w:sz w:val="20"/>
                <w:szCs w:val="20"/>
                <w14:ligatures w14:val="standardContextual"/>
              </w:rPr>
              <w:t>PARTIDA</w:t>
            </w:r>
          </w:p>
        </w:tc>
        <w:tc>
          <w:tcPr>
            <w:tcW w:w="7493" w:type="dxa"/>
            <w:tcBorders>
              <w:top w:val="nil"/>
            </w:tcBorders>
            <w:shd w:val="clear" w:color="auto" w:fill="000000"/>
            <w:noWrap/>
          </w:tcPr>
          <w:p w14:paraId="15D5AC29" w14:textId="77777777" w:rsidR="00925080" w:rsidRPr="002A0B2A" w:rsidRDefault="00925080" w:rsidP="005269D8">
            <w:pPr>
              <w:widowControl w:val="0"/>
              <w:autoSpaceDE w:val="0"/>
              <w:autoSpaceDN w:val="0"/>
              <w:spacing w:before="11" w:line="248" w:lineRule="exact"/>
              <w:ind w:left="21"/>
              <w:jc w:val="center"/>
              <w:rPr>
                <w:rFonts w:ascii="Verdana" w:eastAsia="Calibri" w:hAnsi="Verdana" w:cs="Calibri"/>
                <w:kern w:val="2"/>
                <w:sz w:val="20"/>
                <w:szCs w:val="20"/>
                <w:lang w:val="es-ES"/>
                <w14:ligatures w14:val="standardContextual"/>
              </w:rPr>
            </w:pPr>
            <w:r w:rsidRPr="002A0B2A">
              <w:rPr>
                <w:rFonts w:ascii="Verdana" w:eastAsia="Calibri" w:hAnsi="Verdana" w:cs="Calibri"/>
                <w:kern w:val="2"/>
                <w:sz w:val="20"/>
                <w:szCs w:val="20"/>
                <w:lang w:val="es-ES"/>
                <w14:ligatures w14:val="standardContextual"/>
              </w:rPr>
              <w:t>DESCRIPCION</w:t>
            </w:r>
          </w:p>
        </w:tc>
        <w:tc>
          <w:tcPr>
            <w:tcW w:w="1725" w:type="dxa"/>
            <w:shd w:val="clear" w:color="auto" w:fill="000000"/>
          </w:tcPr>
          <w:p w14:paraId="413A4D41" w14:textId="77777777" w:rsidR="00925080" w:rsidRPr="002A0B2A" w:rsidRDefault="00925080" w:rsidP="005269D8">
            <w:pPr>
              <w:jc w:val="center"/>
              <w:rPr>
                <w:rFonts w:ascii="Verdana" w:eastAsia="Calibri" w:hAnsi="Verdana" w:cs="Times New Roman"/>
                <w:kern w:val="2"/>
                <w:sz w:val="20"/>
                <w:szCs w:val="20"/>
                <w14:ligatures w14:val="standardContextual"/>
              </w:rPr>
            </w:pPr>
            <w:r w:rsidRPr="002A0B2A">
              <w:rPr>
                <w:rFonts w:ascii="Verdana" w:eastAsia="Calibri" w:hAnsi="Verdana" w:cs="Times New Roman"/>
                <w:kern w:val="2"/>
                <w:sz w:val="20"/>
                <w:szCs w:val="20"/>
                <w14:ligatures w14:val="standardContextual"/>
              </w:rPr>
              <w:t>U/M</w:t>
            </w:r>
          </w:p>
        </w:tc>
      </w:tr>
      <w:tr w:rsidR="00925080" w:rsidRPr="002A0B2A" w14:paraId="66738B53" w14:textId="77777777" w:rsidTr="005269D8">
        <w:trPr>
          <w:trHeight w:val="5912"/>
        </w:trPr>
        <w:tc>
          <w:tcPr>
            <w:tcW w:w="988" w:type="dxa"/>
            <w:vMerge w:val="restart"/>
            <w:noWrap/>
          </w:tcPr>
          <w:p w14:paraId="7EAAA2D9" w14:textId="77777777" w:rsidR="00925080" w:rsidRPr="002A0B2A" w:rsidRDefault="00925080" w:rsidP="005269D8">
            <w:pPr>
              <w:rPr>
                <w:rFonts w:ascii="Verdana" w:eastAsia="Calibri" w:hAnsi="Verdana" w:cs="Times New Roman"/>
                <w:kern w:val="2"/>
                <w:sz w:val="20"/>
                <w:szCs w:val="20"/>
                <w14:ligatures w14:val="standardContextual"/>
              </w:rPr>
            </w:pPr>
            <w:r>
              <w:rPr>
                <w:kern w:val="2"/>
                <w14:ligatures w14:val="standardContextual"/>
              </w:rPr>
              <w:t xml:space="preserve">       </w:t>
            </w:r>
            <w:r w:rsidRPr="002A0B2A">
              <w:rPr>
                <w:kern w:val="2"/>
                <w14:ligatures w14:val="standardContextual"/>
              </w:rPr>
              <w:t>1</w:t>
            </w:r>
          </w:p>
        </w:tc>
        <w:tc>
          <w:tcPr>
            <w:tcW w:w="7493" w:type="dxa"/>
            <w:vMerge w:val="restart"/>
            <w:noWrap/>
          </w:tcPr>
          <w:p w14:paraId="73365657" w14:textId="77777777" w:rsidR="00925080" w:rsidRPr="007260E3" w:rsidRDefault="00925080" w:rsidP="005269D8">
            <w:pPr>
              <w:rPr>
                <w:rFonts w:ascii="Verdana" w:eastAsia="Times New Roman" w:hAnsi="Verdana" w:cs="Arial"/>
                <w:color w:val="000000"/>
                <w:kern w:val="2"/>
                <w:sz w:val="20"/>
                <w:szCs w:val="20"/>
                <w:lang w:eastAsia="es-MX"/>
                <w14:ligatures w14:val="standardContextual"/>
              </w:rPr>
            </w:pPr>
          </w:p>
          <w:p w14:paraId="069B3D06" w14:textId="77777777" w:rsidR="00925080" w:rsidRDefault="00925080" w:rsidP="005269D8">
            <w:pPr>
              <w:pStyle w:val="Prrafodelista"/>
              <w:jc w:val="both"/>
              <w:rPr>
                <w:rFonts w:ascii="Verdana" w:eastAsia="Times New Roman" w:hAnsi="Verdana" w:cs="Arial"/>
                <w:color w:val="000000"/>
                <w:kern w:val="2"/>
                <w:sz w:val="20"/>
                <w:szCs w:val="20"/>
                <w:lang w:eastAsia="es-MX"/>
                <w14:ligatures w14:val="standardContextual"/>
              </w:rPr>
            </w:pPr>
            <w:r w:rsidRPr="005269D8">
              <w:rPr>
                <w:rFonts w:ascii="Verdana" w:eastAsia="Times New Roman" w:hAnsi="Verdana" w:cs="Arial"/>
                <w:b/>
                <w:bCs/>
                <w:color w:val="000000"/>
                <w:kern w:val="2"/>
                <w:sz w:val="20"/>
                <w:szCs w:val="20"/>
                <w:lang w:eastAsia="es-MX"/>
                <w14:ligatures w14:val="standardContextual"/>
              </w:rPr>
              <w:t>DÍA DEL EVENTO:</w:t>
            </w:r>
            <w:r>
              <w:rPr>
                <w:rFonts w:ascii="Verdana" w:eastAsia="Times New Roman" w:hAnsi="Verdana" w:cs="Arial"/>
                <w:color w:val="000000"/>
                <w:kern w:val="2"/>
                <w:sz w:val="20"/>
                <w:szCs w:val="20"/>
                <w:lang w:eastAsia="es-MX"/>
                <w14:ligatures w14:val="standardContextual"/>
              </w:rPr>
              <w:t xml:space="preserve"> 18 de mayo del año 2025</w:t>
            </w:r>
          </w:p>
          <w:p w14:paraId="0C80B493" w14:textId="77777777" w:rsidR="00925080" w:rsidRDefault="00925080" w:rsidP="005269D8">
            <w:pPr>
              <w:pStyle w:val="Prrafodelista"/>
              <w:jc w:val="both"/>
              <w:rPr>
                <w:rFonts w:ascii="Verdana" w:eastAsia="Times New Roman" w:hAnsi="Verdana" w:cs="Arial"/>
                <w:color w:val="000000"/>
                <w:kern w:val="2"/>
                <w:sz w:val="20"/>
                <w:szCs w:val="20"/>
                <w:lang w:eastAsia="es-MX"/>
                <w14:ligatures w14:val="standardContextual"/>
              </w:rPr>
            </w:pPr>
            <w:r w:rsidRPr="005269D8">
              <w:rPr>
                <w:rFonts w:ascii="Verdana" w:eastAsia="Times New Roman" w:hAnsi="Verdana" w:cs="Arial"/>
                <w:b/>
                <w:bCs/>
                <w:color w:val="000000"/>
                <w:kern w:val="2"/>
                <w:sz w:val="20"/>
                <w:szCs w:val="20"/>
                <w:lang w:eastAsia="es-MX"/>
                <w14:ligatures w14:val="standardContextual"/>
              </w:rPr>
              <w:t>LUGAR:</w:t>
            </w:r>
            <w:r>
              <w:rPr>
                <w:rFonts w:ascii="Verdana" w:eastAsia="Times New Roman" w:hAnsi="Verdana" w:cs="Arial"/>
                <w:color w:val="000000"/>
                <w:kern w:val="2"/>
                <w:sz w:val="20"/>
                <w:szCs w:val="20"/>
                <w:lang w:eastAsia="es-MX"/>
                <w14:ligatures w14:val="standardContextual"/>
              </w:rPr>
              <w:t xml:space="preserve"> En el cerro conocido como “la mina” ubicado en la zona centro de Tlajomulco de Zúñiga, Jalisco.</w:t>
            </w:r>
          </w:p>
          <w:p w14:paraId="409C1104" w14:textId="77777777" w:rsidR="00925080" w:rsidRPr="00C75E43" w:rsidRDefault="00925080" w:rsidP="005269D8">
            <w:pPr>
              <w:pStyle w:val="Prrafodelista"/>
              <w:jc w:val="both"/>
              <w:rPr>
                <w:rFonts w:ascii="Verdana" w:eastAsia="Times New Roman" w:hAnsi="Verdana" w:cs="Arial"/>
                <w:color w:val="000000"/>
                <w:kern w:val="2"/>
                <w:sz w:val="20"/>
                <w:szCs w:val="20"/>
                <w:lang w:eastAsia="es-MX"/>
                <w14:ligatures w14:val="standardContextual"/>
              </w:rPr>
            </w:pPr>
          </w:p>
          <w:p w14:paraId="3E45A756" w14:textId="77777777" w:rsidR="00925080" w:rsidRPr="006D7A9A" w:rsidRDefault="00925080" w:rsidP="005269D8">
            <w:pPr>
              <w:pStyle w:val="Prrafodelista"/>
              <w:numPr>
                <w:ilvl w:val="0"/>
                <w:numId w:val="2"/>
              </w:numPr>
              <w:jc w:val="both"/>
              <w:rPr>
                <w:rFonts w:ascii="Verdana" w:eastAsia="Times New Roman" w:hAnsi="Verdana" w:cs="Arial"/>
                <w:color w:val="000000"/>
                <w:kern w:val="2"/>
                <w:sz w:val="20"/>
                <w:szCs w:val="20"/>
                <w:lang w:eastAsia="es-MX"/>
                <w14:ligatures w14:val="standardContextual"/>
              </w:rPr>
            </w:pPr>
            <w:r w:rsidRPr="006D7A9A">
              <w:rPr>
                <w:rFonts w:ascii="Calibri" w:eastAsia="Calibri" w:hAnsi="Calibri" w:cs="Calibri"/>
                <w:lang w:eastAsia="es-ES"/>
              </w:rPr>
              <w:t>Servicio de asesoría especializada, gestión integral y construcción de módulos para pista de ciclismo de montaña, diseñada para cumplir con los más altos estándares de seguridad y rendimiento, orientadas a la práctica y desarrollo de competencias profesionales. Desarrollar desde la planificación y diseño técnico hasta la ejecución de</w:t>
            </w:r>
            <w:r>
              <w:rPr>
                <w:rFonts w:ascii="Calibri" w:eastAsia="Calibri" w:hAnsi="Calibri" w:cs="Calibri"/>
                <w:lang w:eastAsia="es-ES"/>
              </w:rPr>
              <w:t xml:space="preserve"> toda la pista</w:t>
            </w:r>
            <w:r w:rsidRPr="006D7A9A">
              <w:rPr>
                <w:rFonts w:ascii="Calibri" w:eastAsia="Calibri" w:hAnsi="Calibri" w:cs="Calibri"/>
                <w:lang w:eastAsia="es-ES"/>
              </w:rPr>
              <w:t>, asegurando funcionalidad, durabilidad y armonía con el entorno natural</w:t>
            </w:r>
            <w:r>
              <w:rPr>
                <w:rFonts w:ascii="Calibri" w:eastAsia="Calibri" w:hAnsi="Calibri" w:cs="Calibri"/>
                <w:lang w:eastAsia="es-ES"/>
              </w:rPr>
              <w:t>, además</w:t>
            </w:r>
            <w:r w:rsidRPr="006D7A9A">
              <w:rPr>
                <w:rFonts w:ascii="Calibri" w:eastAsia="Calibri" w:hAnsi="Calibri" w:cs="Calibri"/>
                <w:lang w:eastAsia="es-ES"/>
              </w:rPr>
              <w:t xml:space="preserve"> </w:t>
            </w:r>
            <w:r>
              <w:rPr>
                <w:rFonts w:ascii="Calibri" w:eastAsia="Calibri" w:hAnsi="Calibri" w:cs="Calibri"/>
                <w:lang w:eastAsia="es-ES"/>
              </w:rPr>
              <w:t>l</w:t>
            </w:r>
            <w:r w:rsidRPr="006D7A9A">
              <w:rPr>
                <w:rFonts w:ascii="Calibri" w:eastAsia="Calibri" w:hAnsi="Calibri" w:cs="Calibri"/>
                <w:lang w:eastAsia="es-ES"/>
              </w:rPr>
              <w:t>os módulos</w:t>
            </w:r>
            <w:r>
              <w:rPr>
                <w:rFonts w:ascii="Calibri" w:eastAsia="Calibri" w:hAnsi="Calibri" w:cs="Calibri"/>
                <w:lang w:eastAsia="es-ES"/>
              </w:rPr>
              <w:t xml:space="preserve"> adicionales</w:t>
            </w:r>
            <w:r w:rsidRPr="006D7A9A">
              <w:rPr>
                <w:rFonts w:ascii="Calibri" w:eastAsia="Calibri" w:hAnsi="Calibri" w:cs="Calibri"/>
                <w:lang w:eastAsia="es-ES"/>
              </w:rPr>
              <w:t xml:space="preserve"> que se requieren serán: </w:t>
            </w:r>
            <w:r>
              <w:rPr>
                <w:rFonts w:ascii="Calibri" w:eastAsia="Calibri" w:hAnsi="Calibri" w:cs="Calibri"/>
                <w:lang w:eastAsia="es-ES"/>
              </w:rPr>
              <w:t>4</w:t>
            </w:r>
            <w:r w:rsidRPr="006D7A9A">
              <w:rPr>
                <w:rFonts w:ascii="Calibri" w:eastAsia="Calibri" w:hAnsi="Calibri" w:cs="Calibri"/>
                <w:lang w:eastAsia="es-ES"/>
              </w:rPr>
              <w:t xml:space="preserve"> peraltes de tierra, 3 </w:t>
            </w:r>
            <w:proofErr w:type="spellStart"/>
            <w:r w:rsidRPr="006D7A9A">
              <w:rPr>
                <w:rFonts w:ascii="Calibri" w:eastAsia="Calibri" w:hAnsi="Calibri" w:cs="Calibri"/>
                <w:lang w:eastAsia="es-ES"/>
              </w:rPr>
              <w:t>drops</w:t>
            </w:r>
            <w:proofErr w:type="spellEnd"/>
            <w:r w:rsidRPr="006D7A9A">
              <w:rPr>
                <w:rFonts w:ascii="Calibri" w:eastAsia="Calibri" w:hAnsi="Calibri" w:cs="Calibri"/>
                <w:lang w:eastAsia="es-ES"/>
              </w:rPr>
              <w:t xml:space="preserve"> de madera, 1 pequeño </w:t>
            </w:r>
            <w:proofErr w:type="spellStart"/>
            <w:r w:rsidRPr="006D7A9A">
              <w:rPr>
                <w:rFonts w:ascii="Calibri" w:eastAsia="Calibri" w:hAnsi="Calibri" w:cs="Calibri"/>
                <w:lang w:eastAsia="es-ES"/>
              </w:rPr>
              <w:t>bike</w:t>
            </w:r>
            <w:proofErr w:type="spellEnd"/>
            <w:r w:rsidRPr="006D7A9A">
              <w:rPr>
                <w:rFonts w:ascii="Calibri" w:eastAsia="Calibri" w:hAnsi="Calibri" w:cs="Calibri"/>
                <w:lang w:eastAsia="es-ES"/>
              </w:rPr>
              <w:t xml:space="preserve"> </w:t>
            </w:r>
            <w:proofErr w:type="spellStart"/>
            <w:r w:rsidRPr="006D7A9A">
              <w:rPr>
                <w:rFonts w:ascii="Calibri" w:eastAsia="Calibri" w:hAnsi="Calibri" w:cs="Calibri"/>
                <w:lang w:eastAsia="es-ES"/>
              </w:rPr>
              <w:t>park</w:t>
            </w:r>
            <w:proofErr w:type="spellEnd"/>
            <w:r w:rsidRPr="006D7A9A">
              <w:rPr>
                <w:rFonts w:ascii="Calibri" w:eastAsia="Calibri" w:hAnsi="Calibri" w:cs="Calibri"/>
                <w:lang w:eastAsia="es-ES"/>
              </w:rPr>
              <w:t xml:space="preserve"> (pista chica de obstáculos), limpieza de todo el </w:t>
            </w:r>
            <w:proofErr w:type="spellStart"/>
            <w:r w:rsidRPr="006D7A9A">
              <w:rPr>
                <w:rFonts w:ascii="Calibri" w:eastAsia="Calibri" w:hAnsi="Calibri" w:cs="Calibri"/>
                <w:lang w:eastAsia="es-ES"/>
              </w:rPr>
              <w:t>track</w:t>
            </w:r>
            <w:proofErr w:type="spellEnd"/>
            <w:r w:rsidRPr="006D7A9A">
              <w:rPr>
                <w:rFonts w:ascii="Calibri" w:eastAsia="Calibri" w:hAnsi="Calibri" w:cs="Calibri"/>
                <w:lang w:eastAsia="es-ES"/>
              </w:rPr>
              <w:t xml:space="preserve"> de la pista de MTB, para el desarrollo del trabajo antes mencionado se requiere que se contemple herramienta, maquinaria</w:t>
            </w:r>
            <w:r>
              <w:rPr>
                <w:rFonts w:ascii="Calibri" w:eastAsia="Calibri" w:hAnsi="Calibri" w:cs="Calibri"/>
                <w:lang w:eastAsia="es-ES"/>
              </w:rPr>
              <w:t xml:space="preserve">, </w:t>
            </w:r>
            <w:r w:rsidRPr="006D7A9A">
              <w:rPr>
                <w:rFonts w:ascii="Calibri" w:eastAsia="Calibri" w:hAnsi="Calibri" w:cs="Calibri"/>
                <w:lang w:eastAsia="es-ES"/>
              </w:rPr>
              <w:t xml:space="preserve"> y personal para el desarrollo de todo el servici</w:t>
            </w:r>
            <w:r>
              <w:rPr>
                <w:rFonts w:ascii="Calibri" w:eastAsia="Calibri" w:hAnsi="Calibri" w:cs="Calibri"/>
                <w:lang w:eastAsia="es-ES"/>
              </w:rPr>
              <w:t>o en general.</w:t>
            </w:r>
          </w:p>
          <w:p w14:paraId="113162C4" w14:textId="77777777" w:rsidR="00925080" w:rsidRPr="00CE31B1" w:rsidRDefault="00925080" w:rsidP="005269D8">
            <w:pPr>
              <w:pStyle w:val="Prrafodelista"/>
              <w:numPr>
                <w:ilvl w:val="0"/>
                <w:numId w:val="2"/>
              </w:numPr>
              <w:jc w:val="both"/>
              <w:rPr>
                <w:rFonts w:ascii="Verdana" w:eastAsia="Times New Roman" w:hAnsi="Verdana" w:cs="Arial"/>
                <w:color w:val="000000"/>
                <w:kern w:val="2"/>
                <w:sz w:val="20"/>
                <w:szCs w:val="20"/>
                <w:lang w:eastAsia="es-MX"/>
                <w14:ligatures w14:val="standardContextual"/>
              </w:rPr>
            </w:pPr>
            <w:r w:rsidRPr="00CE31B1">
              <w:rPr>
                <w:rFonts w:asciiTheme="majorHAnsi" w:hAnsiTheme="majorHAnsi" w:cstheme="majorHAnsi"/>
              </w:rPr>
              <w:t>4 piezas de tablas de madera de pino, con una longitud de 10 pie de largo x 10” y un grosor de 2 a 3 cm. Madera de alta calidad, ideal para proyectos de carpintería, construcción rústica, elaboración de mobiliario o estructuras exteriores.</w:t>
            </w:r>
          </w:p>
          <w:p w14:paraId="2EA6A87C" w14:textId="77777777" w:rsidR="00925080" w:rsidRPr="00E17CA9" w:rsidRDefault="00925080" w:rsidP="005269D8">
            <w:pPr>
              <w:pStyle w:val="Prrafodelista"/>
              <w:numPr>
                <w:ilvl w:val="0"/>
                <w:numId w:val="2"/>
              </w:numPr>
              <w:jc w:val="both"/>
              <w:rPr>
                <w:rFonts w:ascii="Verdana" w:eastAsia="Times New Roman" w:hAnsi="Verdana" w:cs="Arial"/>
                <w:color w:val="000000"/>
                <w:kern w:val="2"/>
                <w:sz w:val="20"/>
                <w:szCs w:val="20"/>
                <w:lang w:eastAsia="es-MX"/>
                <w14:ligatures w14:val="standardContextual"/>
              </w:rPr>
            </w:pPr>
            <w:r>
              <w:rPr>
                <w:rFonts w:asciiTheme="majorHAnsi" w:hAnsiTheme="majorHAnsi" w:cstheme="majorHAnsi"/>
              </w:rPr>
              <w:t>50 piezas de f</w:t>
            </w:r>
            <w:r w:rsidRPr="006D7A9A">
              <w:rPr>
                <w:rFonts w:asciiTheme="majorHAnsi" w:hAnsiTheme="majorHAnsi" w:cstheme="majorHAnsi"/>
              </w:rPr>
              <w:t xml:space="preserve">lechas fabricadas en </w:t>
            </w:r>
            <w:proofErr w:type="spellStart"/>
            <w:r w:rsidRPr="006D7A9A">
              <w:rPr>
                <w:rFonts w:asciiTheme="majorHAnsi" w:hAnsiTheme="majorHAnsi" w:cstheme="majorHAnsi"/>
              </w:rPr>
              <w:t>coroplast</w:t>
            </w:r>
            <w:proofErr w:type="spellEnd"/>
            <w:r w:rsidRPr="006D7A9A">
              <w:rPr>
                <w:rFonts w:asciiTheme="majorHAnsi" w:hAnsiTheme="majorHAnsi" w:cstheme="majorHAnsi"/>
              </w:rPr>
              <w:t xml:space="preserve">, </w:t>
            </w:r>
            <w:r>
              <w:rPr>
                <w:rFonts w:asciiTheme="majorHAnsi" w:hAnsiTheme="majorHAnsi" w:cstheme="majorHAnsi"/>
              </w:rPr>
              <w:t xml:space="preserve">con </w:t>
            </w:r>
            <w:r w:rsidRPr="0009627E">
              <w:rPr>
                <w:rFonts w:asciiTheme="majorHAnsi" w:hAnsiTheme="majorHAnsi" w:cstheme="majorHAnsi"/>
              </w:rPr>
              <w:t xml:space="preserve">impresión </w:t>
            </w:r>
            <w:r>
              <w:rPr>
                <w:rFonts w:asciiTheme="majorHAnsi" w:hAnsiTheme="majorHAnsi" w:cstheme="majorHAnsi"/>
              </w:rPr>
              <w:t xml:space="preserve">de </w:t>
            </w:r>
            <w:r w:rsidRPr="0009627E">
              <w:rPr>
                <w:rFonts w:asciiTheme="majorHAnsi" w:hAnsiTheme="majorHAnsi" w:cstheme="majorHAnsi"/>
              </w:rPr>
              <w:t>selección a color, en alta resolución, diseño personalizado</w:t>
            </w:r>
            <w:r>
              <w:rPr>
                <w:rFonts w:asciiTheme="majorHAnsi" w:hAnsiTheme="majorHAnsi" w:cstheme="majorHAnsi"/>
              </w:rPr>
              <w:t xml:space="preserve">, </w:t>
            </w:r>
            <w:r w:rsidRPr="0009627E">
              <w:rPr>
                <w:rFonts w:asciiTheme="majorHAnsi" w:hAnsiTheme="majorHAnsi" w:cstheme="majorHAnsi"/>
              </w:rPr>
              <w:t>cada una con una longitud de 30 cm y proporción de altura ajustada para mantener una visibilidad óptima y estética uniforme. Diseñadas para señalización en exteriores, ligeras, resistentes a la intemperie y de fácil instalación.</w:t>
            </w:r>
          </w:p>
          <w:p w14:paraId="4A9A6820" w14:textId="77777777" w:rsidR="00925080" w:rsidRPr="00E17CA9" w:rsidRDefault="00925080" w:rsidP="005269D8">
            <w:pPr>
              <w:pStyle w:val="Prrafodelista"/>
              <w:numPr>
                <w:ilvl w:val="0"/>
                <w:numId w:val="2"/>
              </w:numPr>
              <w:jc w:val="both"/>
              <w:rPr>
                <w:rFonts w:ascii="Verdana" w:eastAsia="Times New Roman" w:hAnsi="Verdana" w:cs="Arial"/>
                <w:color w:val="000000"/>
                <w:kern w:val="2"/>
                <w:sz w:val="20"/>
                <w:szCs w:val="20"/>
                <w:lang w:eastAsia="es-MX"/>
                <w14:ligatures w14:val="standardContextual"/>
              </w:rPr>
            </w:pPr>
            <w:r w:rsidRPr="00E17CA9">
              <w:rPr>
                <w:rFonts w:asciiTheme="majorHAnsi" w:hAnsiTheme="majorHAnsi" w:cstheme="majorHAnsi"/>
              </w:rPr>
              <w:t xml:space="preserve">5 piezas de placas de </w:t>
            </w:r>
            <w:proofErr w:type="spellStart"/>
            <w:r w:rsidRPr="00E17CA9">
              <w:rPr>
                <w:rFonts w:asciiTheme="majorHAnsi" w:hAnsiTheme="majorHAnsi" w:cstheme="majorHAnsi"/>
              </w:rPr>
              <w:t>coroplast</w:t>
            </w:r>
            <w:proofErr w:type="spellEnd"/>
            <w:r w:rsidRPr="00E17CA9">
              <w:rPr>
                <w:rFonts w:asciiTheme="majorHAnsi" w:hAnsiTheme="majorHAnsi" w:cstheme="majorHAnsi"/>
              </w:rPr>
              <w:t xml:space="preserve"> de 30x30 cm, con impresión de selección a color, en alta resolución y diseño personalizado, para señalar los kilómetros.</w:t>
            </w:r>
          </w:p>
          <w:p w14:paraId="20996D9E" w14:textId="77777777" w:rsidR="00925080" w:rsidRPr="00E17CA9" w:rsidRDefault="00925080" w:rsidP="005269D8">
            <w:pPr>
              <w:pStyle w:val="Prrafodelista"/>
              <w:numPr>
                <w:ilvl w:val="0"/>
                <w:numId w:val="2"/>
              </w:numPr>
              <w:jc w:val="both"/>
              <w:rPr>
                <w:rFonts w:ascii="Verdana" w:eastAsia="Times New Roman" w:hAnsi="Verdana" w:cs="Arial"/>
                <w:color w:val="000000"/>
                <w:kern w:val="2"/>
                <w:sz w:val="20"/>
                <w:szCs w:val="20"/>
                <w:lang w:eastAsia="es-MX"/>
                <w14:ligatures w14:val="standardContextual"/>
              </w:rPr>
            </w:pPr>
            <w:r w:rsidRPr="00E17CA9">
              <w:rPr>
                <w:rFonts w:asciiTheme="majorHAnsi" w:hAnsiTheme="majorHAnsi" w:cstheme="majorHAnsi"/>
              </w:rPr>
              <w:t xml:space="preserve">20 piezas de letreros de </w:t>
            </w:r>
            <w:proofErr w:type="spellStart"/>
            <w:r w:rsidRPr="00E17CA9">
              <w:rPr>
                <w:rFonts w:asciiTheme="majorHAnsi" w:hAnsiTheme="majorHAnsi" w:cstheme="majorHAnsi"/>
              </w:rPr>
              <w:t>coroplast</w:t>
            </w:r>
            <w:proofErr w:type="spellEnd"/>
            <w:r w:rsidRPr="00E17CA9">
              <w:rPr>
                <w:rFonts w:asciiTheme="majorHAnsi" w:hAnsiTheme="majorHAnsi" w:cstheme="majorHAnsi"/>
              </w:rPr>
              <w:t xml:space="preserve"> de 15 x 50 cm, con impresión de selección a color, en alta resolución y diseño personalizado.</w:t>
            </w:r>
          </w:p>
          <w:p w14:paraId="390EFFA5" w14:textId="77777777" w:rsidR="00925080" w:rsidRPr="00E17CA9" w:rsidRDefault="00925080" w:rsidP="005269D8">
            <w:pPr>
              <w:pStyle w:val="Prrafodelista"/>
              <w:numPr>
                <w:ilvl w:val="0"/>
                <w:numId w:val="2"/>
              </w:numPr>
              <w:jc w:val="both"/>
              <w:rPr>
                <w:rFonts w:ascii="Verdana" w:eastAsia="Times New Roman" w:hAnsi="Verdana" w:cs="Arial"/>
                <w:color w:val="000000"/>
                <w:kern w:val="2"/>
                <w:sz w:val="20"/>
                <w:szCs w:val="20"/>
                <w:lang w:eastAsia="es-MX"/>
                <w14:ligatures w14:val="standardContextual"/>
              </w:rPr>
            </w:pPr>
            <w:r w:rsidRPr="00E17CA9">
              <w:rPr>
                <w:rFonts w:asciiTheme="majorHAnsi" w:hAnsiTheme="majorHAnsi" w:cstheme="majorHAnsi"/>
              </w:rPr>
              <w:t xml:space="preserve">6 sacos de 20 kg de cal hidratada, ideal para aplicaciones en construcción, estabilización de suelos, control de humedad o señalización temporal en terrenos al aire libre. </w:t>
            </w:r>
          </w:p>
          <w:p w14:paraId="0F722E18" w14:textId="77777777" w:rsidR="00925080" w:rsidRPr="00E17CA9" w:rsidRDefault="00925080" w:rsidP="005269D8">
            <w:pPr>
              <w:pStyle w:val="Prrafodelista"/>
              <w:numPr>
                <w:ilvl w:val="0"/>
                <w:numId w:val="2"/>
              </w:numPr>
              <w:jc w:val="both"/>
              <w:rPr>
                <w:rFonts w:ascii="Verdana" w:eastAsia="Times New Roman" w:hAnsi="Verdana" w:cs="Arial"/>
                <w:color w:val="000000"/>
                <w:kern w:val="2"/>
                <w:sz w:val="20"/>
                <w:szCs w:val="20"/>
                <w:lang w:eastAsia="es-MX"/>
                <w14:ligatures w14:val="standardContextual"/>
              </w:rPr>
            </w:pPr>
            <w:r w:rsidRPr="00E17CA9">
              <w:rPr>
                <w:rFonts w:asciiTheme="majorHAnsi" w:hAnsiTheme="majorHAnsi" w:cstheme="majorHAnsi"/>
              </w:rPr>
              <w:t>4 rollos de cinta de precaución color amarillo, 100 metros de largo, fabricada en material plástico resistente a la intemperie. Ideal para competencias deportivas, obras civiles, operativos logísticos o señalización temporal.</w:t>
            </w:r>
          </w:p>
          <w:p w14:paraId="2A5EF755" w14:textId="77777777" w:rsidR="00925080" w:rsidRPr="004F57C0" w:rsidRDefault="00925080" w:rsidP="005269D8">
            <w:pPr>
              <w:pStyle w:val="Prrafodelista"/>
              <w:numPr>
                <w:ilvl w:val="0"/>
                <w:numId w:val="2"/>
              </w:numPr>
              <w:jc w:val="both"/>
              <w:rPr>
                <w:rFonts w:ascii="Verdana" w:eastAsia="Times New Roman" w:hAnsi="Verdana" w:cs="Arial"/>
                <w:color w:val="000000"/>
                <w:kern w:val="2"/>
                <w:sz w:val="20"/>
                <w:szCs w:val="20"/>
                <w:lang w:eastAsia="es-MX"/>
                <w14:ligatures w14:val="standardContextual"/>
              </w:rPr>
            </w:pPr>
            <w:r w:rsidRPr="00E17CA9">
              <w:rPr>
                <w:rFonts w:asciiTheme="majorHAnsi" w:hAnsiTheme="majorHAnsi" w:cstheme="majorHAnsi"/>
              </w:rPr>
              <w:lastRenderedPageBreak/>
              <w:t>1</w:t>
            </w:r>
            <w:r>
              <w:rPr>
                <w:rFonts w:asciiTheme="majorHAnsi" w:hAnsiTheme="majorHAnsi" w:cstheme="majorHAnsi"/>
              </w:rPr>
              <w:t>5</w:t>
            </w:r>
            <w:r w:rsidRPr="00E17CA9">
              <w:rPr>
                <w:rFonts w:asciiTheme="majorHAnsi" w:hAnsiTheme="majorHAnsi" w:cstheme="majorHAnsi"/>
              </w:rPr>
              <w:t>0 cinchos de nylon natural de 20 cm, fabricados con material de alta resistencia, flexible y duradero. Con un color natural (translúcido o blanco) y un ancho aproximado de 4.8 mm, ideales para sujetar cables, mangueras, bolsas u otros objetos de manera segura. Sistema de cierre autoblocante con dientes internos.</w:t>
            </w:r>
          </w:p>
          <w:p w14:paraId="18433C97" w14:textId="77777777" w:rsidR="00925080" w:rsidRPr="004F57C0" w:rsidRDefault="00925080" w:rsidP="005269D8">
            <w:pPr>
              <w:pStyle w:val="Prrafodelista"/>
              <w:numPr>
                <w:ilvl w:val="0"/>
                <w:numId w:val="2"/>
              </w:numPr>
              <w:jc w:val="both"/>
              <w:rPr>
                <w:rFonts w:ascii="Verdana" w:eastAsia="Times New Roman" w:hAnsi="Verdana" w:cs="Arial"/>
                <w:color w:val="000000"/>
                <w:kern w:val="2"/>
                <w:sz w:val="20"/>
                <w:szCs w:val="20"/>
                <w:lang w:eastAsia="es-MX"/>
                <w14:ligatures w14:val="standardContextual"/>
              </w:rPr>
            </w:pPr>
            <w:r w:rsidRPr="004F57C0">
              <w:rPr>
                <w:rFonts w:asciiTheme="majorHAnsi" w:hAnsiTheme="majorHAnsi" w:cstheme="majorHAnsi"/>
              </w:rPr>
              <w:t>1</w:t>
            </w:r>
            <w:r>
              <w:rPr>
                <w:rFonts w:asciiTheme="majorHAnsi" w:hAnsiTheme="majorHAnsi" w:cstheme="majorHAnsi"/>
              </w:rPr>
              <w:t>5</w:t>
            </w:r>
            <w:r w:rsidRPr="004F57C0">
              <w:rPr>
                <w:rFonts w:asciiTheme="majorHAnsi" w:hAnsiTheme="majorHAnsi" w:cstheme="majorHAnsi"/>
              </w:rPr>
              <w:t>0 cinchos de nylon natural de 30 cm, fabricados con material de alta resistencia, flexible y duradero. Con un color natural (translúcido o blanco) y un ancho aproximado de 4.8 mm, ideales para sujetar cables, mangueras, bolsas u otros objetos de manera segura. Sistema de cierre autoblocante con dientes internos.</w:t>
            </w:r>
          </w:p>
          <w:p w14:paraId="667835FC" w14:textId="77777777" w:rsidR="00925080" w:rsidRPr="004F57C0" w:rsidRDefault="00925080" w:rsidP="005269D8">
            <w:pPr>
              <w:pStyle w:val="Prrafodelista"/>
              <w:numPr>
                <w:ilvl w:val="0"/>
                <w:numId w:val="2"/>
              </w:numPr>
              <w:jc w:val="both"/>
              <w:rPr>
                <w:rFonts w:ascii="Verdana" w:eastAsia="Times New Roman" w:hAnsi="Verdana" w:cs="Arial"/>
                <w:color w:val="000000"/>
                <w:kern w:val="2"/>
                <w:sz w:val="20"/>
                <w:szCs w:val="20"/>
                <w:lang w:eastAsia="es-MX"/>
                <w14:ligatures w14:val="standardContextual"/>
              </w:rPr>
            </w:pPr>
            <w:r w:rsidRPr="004F57C0">
              <w:rPr>
                <w:rFonts w:asciiTheme="majorHAnsi" w:hAnsiTheme="majorHAnsi" w:cstheme="majorHAnsi"/>
              </w:rPr>
              <w:t>Servicio de renta de 7 baños portátiles que incluye traslado y colocación en el sitio indicado, limpieza y desinfección del sanitario con reposición de insumos básicos, envase y manejo de residuos conforme a normativas sanitarias, así como la recolección y retiro del mueble al finalizar el servicio.</w:t>
            </w:r>
          </w:p>
          <w:p w14:paraId="2CBBE92D" w14:textId="77777777" w:rsidR="00925080" w:rsidRPr="004F57C0" w:rsidRDefault="00925080" w:rsidP="005269D8">
            <w:pPr>
              <w:pStyle w:val="Prrafodelista"/>
              <w:numPr>
                <w:ilvl w:val="0"/>
                <w:numId w:val="2"/>
              </w:numPr>
              <w:jc w:val="both"/>
              <w:rPr>
                <w:rFonts w:ascii="Verdana" w:eastAsia="Times New Roman" w:hAnsi="Verdana" w:cs="Arial"/>
                <w:color w:val="000000"/>
                <w:kern w:val="2"/>
                <w:sz w:val="20"/>
                <w:szCs w:val="20"/>
                <w:lang w:eastAsia="es-MX"/>
                <w14:ligatures w14:val="standardContextual"/>
              </w:rPr>
            </w:pPr>
            <w:r w:rsidRPr="004F57C0">
              <w:rPr>
                <w:rFonts w:asciiTheme="majorHAnsi" w:hAnsiTheme="majorHAnsi" w:cstheme="majorHAnsi"/>
              </w:rPr>
              <w:t>2000 piezas de bolis de agua natural purificada en empaques tipo "bolis", con capacidad de aproximadamente 200 mililitros. El material del boli diseñado con un polímero de fácil rompimiento, permitiendo una apertura práctica y sin complicaciones</w:t>
            </w:r>
          </w:p>
          <w:p w14:paraId="3FED3B04" w14:textId="77777777" w:rsidR="00925080" w:rsidRPr="00CB12E2" w:rsidRDefault="00925080" w:rsidP="005269D8">
            <w:pPr>
              <w:pStyle w:val="Prrafodelista"/>
              <w:numPr>
                <w:ilvl w:val="0"/>
                <w:numId w:val="2"/>
              </w:numPr>
              <w:jc w:val="both"/>
              <w:rPr>
                <w:rFonts w:asciiTheme="majorHAnsi" w:eastAsia="Times New Roman" w:hAnsiTheme="majorHAnsi" w:cstheme="majorHAnsi"/>
                <w:color w:val="000000"/>
                <w:kern w:val="2"/>
                <w:sz w:val="20"/>
                <w:szCs w:val="20"/>
                <w:lang w:eastAsia="es-MX"/>
                <w14:ligatures w14:val="standardContextual"/>
              </w:rPr>
            </w:pPr>
            <w:r w:rsidRPr="004F57C0">
              <w:rPr>
                <w:rFonts w:asciiTheme="majorHAnsi" w:hAnsiTheme="majorHAnsi" w:cstheme="majorHAnsi"/>
              </w:rPr>
              <w:t xml:space="preserve">Servicio de: </w:t>
            </w:r>
            <w:r>
              <w:rPr>
                <w:rFonts w:asciiTheme="majorHAnsi" w:hAnsiTheme="majorHAnsi" w:cstheme="majorHAnsi"/>
              </w:rPr>
              <w:t>30</w:t>
            </w:r>
            <w:r w:rsidRPr="004F57C0">
              <w:rPr>
                <w:rFonts w:asciiTheme="majorHAnsi" w:hAnsiTheme="majorHAnsi" w:cstheme="majorHAnsi"/>
              </w:rPr>
              <w:t xml:space="preserve"> desayunos completos para entregar a las 8:30 am en</w:t>
            </w:r>
            <w:r>
              <w:rPr>
                <w:rFonts w:asciiTheme="majorHAnsi" w:hAnsiTheme="majorHAnsi" w:cstheme="majorHAnsi"/>
              </w:rPr>
              <w:t xml:space="preserve"> el lugar del evento que el COMUDE designe</w:t>
            </w:r>
            <w:r w:rsidRPr="004F57C0">
              <w:rPr>
                <w:rFonts w:asciiTheme="majorHAnsi" w:hAnsiTheme="majorHAnsi" w:cstheme="majorHAnsi"/>
              </w:rPr>
              <w:t xml:space="preserve">.  </w:t>
            </w:r>
            <w:r>
              <w:rPr>
                <w:rFonts w:asciiTheme="majorHAnsi" w:hAnsiTheme="majorHAnsi" w:cstheme="majorHAnsi"/>
              </w:rPr>
              <w:t>3</w:t>
            </w:r>
            <w:r w:rsidRPr="004F57C0">
              <w:rPr>
                <w:rFonts w:asciiTheme="majorHAnsi" w:hAnsiTheme="majorHAnsi" w:cstheme="majorHAnsi"/>
              </w:rPr>
              <w:t xml:space="preserve">0 comidas completas para entregar a las 14:00 horas en el lugar </w:t>
            </w:r>
            <w:r>
              <w:rPr>
                <w:rFonts w:asciiTheme="majorHAnsi" w:hAnsiTheme="majorHAnsi" w:cstheme="majorHAnsi"/>
              </w:rPr>
              <w:t>que COMUDE designe,</w:t>
            </w:r>
            <w:r w:rsidRPr="004F57C0">
              <w:rPr>
                <w:rFonts w:asciiTheme="majorHAnsi" w:hAnsiTheme="majorHAnsi" w:cstheme="majorHAnsi"/>
              </w:rPr>
              <w:t xml:space="preserve"> para el desayuno y comida</w:t>
            </w:r>
            <w:r>
              <w:rPr>
                <w:rFonts w:asciiTheme="majorHAnsi" w:hAnsiTheme="majorHAnsi" w:cstheme="majorHAnsi"/>
              </w:rPr>
              <w:t>:</w:t>
            </w:r>
            <w:r w:rsidRPr="004F57C0">
              <w:rPr>
                <w:rFonts w:asciiTheme="majorHAnsi" w:hAnsiTheme="majorHAnsi" w:cstheme="majorHAnsi"/>
              </w:rPr>
              <w:t xml:space="preserve"> deben incluir porción de proteínas, leguminosas, tortilla, bebida</w:t>
            </w:r>
            <w:r>
              <w:rPr>
                <w:rFonts w:asciiTheme="majorHAnsi" w:hAnsiTheme="majorHAnsi" w:cstheme="majorHAnsi"/>
              </w:rPr>
              <w:t xml:space="preserve"> de </w:t>
            </w:r>
            <w:r w:rsidRPr="004F57C0">
              <w:rPr>
                <w:rFonts w:asciiTheme="majorHAnsi" w:hAnsiTheme="majorHAnsi" w:cstheme="majorHAnsi"/>
              </w:rPr>
              <w:t>jugo o agua de sabor</w:t>
            </w:r>
            <w:r>
              <w:rPr>
                <w:rFonts w:asciiTheme="majorHAnsi" w:hAnsiTheme="majorHAnsi" w:cstheme="majorHAnsi"/>
              </w:rPr>
              <w:t xml:space="preserve"> de ½ litro</w:t>
            </w:r>
            <w:r w:rsidRPr="004F57C0">
              <w:rPr>
                <w:rFonts w:asciiTheme="majorHAnsi" w:hAnsiTheme="majorHAnsi" w:cstheme="majorHAnsi"/>
              </w:rPr>
              <w:t xml:space="preserve">, </w:t>
            </w:r>
            <w:r>
              <w:rPr>
                <w:rFonts w:asciiTheme="majorHAnsi" w:hAnsiTheme="majorHAnsi" w:cstheme="majorHAnsi"/>
              </w:rPr>
              <w:t xml:space="preserve">y que contemple </w:t>
            </w:r>
            <w:r w:rsidRPr="004F57C0">
              <w:rPr>
                <w:rFonts w:asciiTheme="majorHAnsi" w:hAnsiTheme="majorHAnsi" w:cstheme="majorHAnsi"/>
              </w:rPr>
              <w:t>plato desechable, servilleta y cubiertos</w:t>
            </w:r>
            <w:r>
              <w:rPr>
                <w:rFonts w:asciiTheme="majorHAnsi" w:hAnsiTheme="majorHAnsi" w:cstheme="majorHAnsi"/>
              </w:rPr>
              <w:t>.</w:t>
            </w:r>
          </w:p>
          <w:p w14:paraId="0AFDCFDD" w14:textId="77777777" w:rsidR="00925080" w:rsidRPr="00CB12E2" w:rsidRDefault="00925080" w:rsidP="005269D8">
            <w:pPr>
              <w:pStyle w:val="Prrafodelista"/>
              <w:numPr>
                <w:ilvl w:val="0"/>
                <w:numId w:val="2"/>
              </w:numPr>
              <w:jc w:val="both"/>
              <w:rPr>
                <w:rFonts w:asciiTheme="majorHAnsi" w:eastAsia="Times New Roman" w:hAnsiTheme="majorHAnsi" w:cstheme="majorHAnsi"/>
                <w:color w:val="000000"/>
                <w:kern w:val="2"/>
                <w:sz w:val="20"/>
                <w:szCs w:val="20"/>
                <w:lang w:eastAsia="es-MX"/>
                <w14:ligatures w14:val="standardContextual"/>
              </w:rPr>
            </w:pPr>
            <w:r w:rsidRPr="00CB12E2">
              <w:rPr>
                <w:rFonts w:asciiTheme="majorHAnsi" w:hAnsiTheme="majorHAnsi" w:cstheme="majorHAnsi"/>
              </w:rPr>
              <w:t>2 piezas de rollo de 10 metros de alambre de púas, elaborado en acero galvanizado para mayor resistencia a la intemperie y larga durabilidad. Ideal para delimitar áreas, reforzar cercados o aumentar la seguridad en terrenos rurales. Diseño de doble hilo con púas entrelazadas. Presentación compacta y manejable para aplicaciones temporales o permanentes.</w:t>
            </w:r>
          </w:p>
          <w:p w14:paraId="461C08BB" w14:textId="77777777" w:rsidR="00925080" w:rsidRPr="00CB12E2" w:rsidRDefault="00925080" w:rsidP="005269D8">
            <w:pPr>
              <w:pStyle w:val="Prrafodelista"/>
              <w:numPr>
                <w:ilvl w:val="0"/>
                <w:numId w:val="2"/>
              </w:numPr>
              <w:jc w:val="both"/>
              <w:rPr>
                <w:rFonts w:asciiTheme="majorHAnsi" w:eastAsia="Times New Roman" w:hAnsiTheme="majorHAnsi" w:cstheme="majorHAnsi"/>
                <w:color w:val="000000"/>
                <w:kern w:val="2"/>
                <w:sz w:val="20"/>
                <w:szCs w:val="20"/>
                <w:lang w:eastAsia="es-MX"/>
                <w14:ligatures w14:val="standardContextual"/>
              </w:rPr>
            </w:pPr>
            <w:r>
              <w:rPr>
                <w:rFonts w:asciiTheme="majorHAnsi" w:hAnsiTheme="majorHAnsi" w:cstheme="majorHAnsi"/>
              </w:rPr>
              <w:t xml:space="preserve">24 </w:t>
            </w:r>
            <w:r w:rsidRPr="008F47BC">
              <w:rPr>
                <w:rFonts w:asciiTheme="majorHAnsi" w:hAnsiTheme="majorHAnsi" w:cstheme="majorHAnsi"/>
              </w:rPr>
              <w:t>tornillos de 5/16" ancho por 3" largo con 48 rondanas 5/16" planas y 24 tuercas 5/16"</w:t>
            </w:r>
            <w:r>
              <w:rPr>
                <w:rFonts w:asciiTheme="majorHAnsi" w:hAnsiTheme="majorHAnsi" w:cstheme="majorHAnsi"/>
              </w:rPr>
              <w:t>.</w:t>
            </w:r>
          </w:p>
          <w:p w14:paraId="3C87D7A8" w14:textId="77777777" w:rsidR="00925080" w:rsidRDefault="00925080" w:rsidP="005269D8">
            <w:pPr>
              <w:pStyle w:val="Prrafodelista"/>
              <w:numPr>
                <w:ilvl w:val="0"/>
                <w:numId w:val="2"/>
              </w:numPr>
              <w:jc w:val="both"/>
              <w:rPr>
                <w:rFonts w:asciiTheme="majorHAnsi" w:eastAsia="Times New Roman" w:hAnsiTheme="majorHAnsi" w:cstheme="majorHAnsi"/>
                <w:color w:val="000000"/>
                <w:kern w:val="2"/>
                <w:sz w:val="20"/>
                <w:szCs w:val="20"/>
                <w:lang w:eastAsia="es-MX"/>
                <w14:ligatures w14:val="standardContextual"/>
              </w:rPr>
            </w:pPr>
            <w:r>
              <w:rPr>
                <w:rFonts w:asciiTheme="majorHAnsi" w:eastAsia="Times New Roman" w:hAnsiTheme="majorHAnsi" w:cstheme="majorHAnsi"/>
                <w:color w:val="000000"/>
                <w:kern w:val="2"/>
                <w:sz w:val="20"/>
                <w:szCs w:val="20"/>
                <w:lang w:eastAsia="es-MX"/>
                <w14:ligatures w14:val="standardContextual"/>
              </w:rPr>
              <w:t>42 piezas de bote de aerosol de 400 ml, con variedad de colores, que sean de secado rápido, ideal para uso de interiores o exteriores, para múltiples aplicaciones y resistentes a la decoloración y al desgaste.</w:t>
            </w:r>
          </w:p>
          <w:p w14:paraId="42692D2F" w14:textId="77777777" w:rsidR="00925080" w:rsidRPr="007E1BD9" w:rsidRDefault="00925080" w:rsidP="005269D8">
            <w:pPr>
              <w:pStyle w:val="Prrafodelista"/>
              <w:jc w:val="both"/>
              <w:rPr>
                <w:rFonts w:asciiTheme="majorHAnsi" w:eastAsia="Times New Roman" w:hAnsiTheme="majorHAnsi" w:cstheme="majorHAnsi"/>
                <w:color w:val="000000"/>
                <w:kern w:val="2"/>
                <w:sz w:val="20"/>
                <w:szCs w:val="20"/>
                <w:lang w:eastAsia="es-MX"/>
                <w14:ligatures w14:val="standardContextual"/>
              </w:rPr>
            </w:pPr>
            <w:r>
              <w:rPr>
                <w:rFonts w:asciiTheme="majorHAnsi" w:eastAsia="Times New Roman" w:hAnsiTheme="majorHAnsi" w:cstheme="majorHAnsi"/>
                <w:color w:val="000000"/>
                <w:kern w:val="2"/>
                <w:sz w:val="20"/>
                <w:szCs w:val="20"/>
                <w:lang w:eastAsia="es-MX"/>
                <w14:ligatures w14:val="standardContextual"/>
              </w:rPr>
              <w:t>Nota: el proveedor tendrá que garantizar que entregue en tiempo y forma la totalidad del servicio 2 días naturales antes de la fecha del evento señalada.</w:t>
            </w:r>
          </w:p>
        </w:tc>
        <w:tc>
          <w:tcPr>
            <w:tcW w:w="1725" w:type="dxa"/>
            <w:tcBorders>
              <w:bottom w:val="single" w:sz="4" w:space="0" w:color="FFFFFF" w:themeColor="background1"/>
            </w:tcBorders>
          </w:tcPr>
          <w:p w14:paraId="57F74627" w14:textId="77777777" w:rsidR="00925080" w:rsidRDefault="00925080" w:rsidP="005269D8">
            <w:pPr>
              <w:jc w:val="center"/>
              <w:rPr>
                <w:rFonts w:ascii="Verdana" w:eastAsia="Calibri" w:hAnsi="Verdana" w:cs="Times New Roman"/>
                <w:kern w:val="2"/>
                <w:sz w:val="20"/>
                <w:szCs w:val="20"/>
                <w14:ligatures w14:val="standardContextual"/>
              </w:rPr>
            </w:pPr>
          </w:p>
          <w:p w14:paraId="444B3D74" w14:textId="77777777" w:rsidR="00925080" w:rsidRDefault="00925080" w:rsidP="005269D8">
            <w:pPr>
              <w:jc w:val="center"/>
              <w:rPr>
                <w:rFonts w:ascii="Verdana" w:eastAsia="Calibri" w:hAnsi="Verdana" w:cs="Times New Roman"/>
                <w:kern w:val="2"/>
                <w:sz w:val="20"/>
                <w:szCs w:val="20"/>
                <w14:ligatures w14:val="standardContextual"/>
              </w:rPr>
            </w:pPr>
          </w:p>
          <w:p w14:paraId="15816B94" w14:textId="77777777" w:rsidR="00925080" w:rsidRPr="002A0B2A" w:rsidRDefault="00925080" w:rsidP="005269D8">
            <w:pPr>
              <w:jc w:val="center"/>
              <w:rPr>
                <w:rFonts w:ascii="Verdana" w:eastAsia="Calibri" w:hAnsi="Verdana" w:cs="Times New Roman"/>
                <w:kern w:val="2"/>
                <w:sz w:val="20"/>
                <w:szCs w:val="20"/>
                <w14:ligatures w14:val="standardContextual"/>
              </w:rPr>
            </w:pPr>
            <w:r>
              <w:rPr>
                <w:rFonts w:ascii="Verdana" w:eastAsia="Calibri" w:hAnsi="Verdana" w:cs="Times New Roman"/>
                <w:kern w:val="2"/>
                <w:sz w:val="20"/>
                <w:szCs w:val="20"/>
                <w14:ligatures w14:val="standardContextual"/>
              </w:rPr>
              <w:t>SERVICIO</w:t>
            </w:r>
          </w:p>
          <w:p w14:paraId="2108B77A" w14:textId="77777777" w:rsidR="00925080" w:rsidRPr="002A0B2A" w:rsidRDefault="00925080" w:rsidP="005269D8">
            <w:pPr>
              <w:jc w:val="center"/>
              <w:rPr>
                <w:rFonts w:ascii="Verdana" w:eastAsia="Calibri" w:hAnsi="Verdana" w:cs="Times New Roman"/>
                <w:kern w:val="2"/>
                <w:sz w:val="20"/>
                <w:szCs w:val="20"/>
                <w14:ligatures w14:val="standardContextual"/>
              </w:rPr>
            </w:pPr>
          </w:p>
        </w:tc>
      </w:tr>
      <w:tr w:rsidR="00925080" w:rsidRPr="002A0B2A" w14:paraId="310DC239" w14:textId="77777777" w:rsidTr="005269D8">
        <w:trPr>
          <w:trHeight w:val="1987"/>
        </w:trPr>
        <w:tc>
          <w:tcPr>
            <w:tcW w:w="988" w:type="dxa"/>
            <w:vMerge/>
            <w:noWrap/>
          </w:tcPr>
          <w:p w14:paraId="79B4DE58" w14:textId="77777777" w:rsidR="00925080" w:rsidRPr="002A0B2A" w:rsidRDefault="00925080" w:rsidP="005269D8">
            <w:pPr>
              <w:jc w:val="center"/>
              <w:rPr>
                <w:kern w:val="2"/>
                <w14:ligatures w14:val="standardContextual"/>
              </w:rPr>
            </w:pPr>
          </w:p>
        </w:tc>
        <w:tc>
          <w:tcPr>
            <w:tcW w:w="7493" w:type="dxa"/>
            <w:vMerge/>
            <w:noWrap/>
            <w:vAlign w:val="center"/>
          </w:tcPr>
          <w:p w14:paraId="2AC2C517" w14:textId="77777777" w:rsidR="00925080" w:rsidRPr="007260E3" w:rsidRDefault="00925080" w:rsidP="005269D8">
            <w:pPr>
              <w:rPr>
                <w:rFonts w:ascii="Verdana" w:eastAsia="Times New Roman" w:hAnsi="Verdana" w:cs="Arial"/>
                <w:color w:val="000000"/>
                <w:kern w:val="2"/>
                <w:sz w:val="20"/>
                <w:szCs w:val="20"/>
                <w:lang w:eastAsia="es-MX"/>
                <w14:ligatures w14:val="standardContextual"/>
              </w:rPr>
            </w:pPr>
          </w:p>
        </w:tc>
        <w:tc>
          <w:tcPr>
            <w:tcW w:w="1725" w:type="dxa"/>
            <w:tcBorders>
              <w:top w:val="single" w:sz="4" w:space="0" w:color="FFFFFF" w:themeColor="background1"/>
            </w:tcBorders>
            <w:vAlign w:val="center"/>
          </w:tcPr>
          <w:p w14:paraId="0D0FC539" w14:textId="77777777" w:rsidR="00925080" w:rsidRDefault="00925080" w:rsidP="005269D8">
            <w:pPr>
              <w:rPr>
                <w:rFonts w:ascii="Verdana" w:eastAsia="Calibri" w:hAnsi="Verdana" w:cs="Times New Roman"/>
                <w:kern w:val="2"/>
                <w:sz w:val="20"/>
                <w:szCs w:val="20"/>
                <w14:ligatures w14:val="standardContextual"/>
              </w:rPr>
            </w:pPr>
          </w:p>
        </w:tc>
      </w:tr>
      <w:tr w:rsidR="00925080" w:rsidRPr="002A0B2A" w14:paraId="051D5CB2" w14:textId="77777777" w:rsidTr="005269D8">
        <w:trPr>
          <w:gridAfter w:val="2"/>
          <w:wAfter w:w="9218" w:type="dxa"/>
          <w:trHeight w:val="269"/>
        </w:trPr>
        <w:tc>
          <w:tcPr>
            <w:tcW w:w="988" w:type="dxa"/>
            <w:vMerge/>
            <w:noWrap/>
          </w:tcPr>
          <w:p w14:paraId="77E0C61E" w14:textId="77777777" w:rsidR="00925080" w:rsidRPr="002A0B2A" w:rsidRDefault="00925080" w:rsidP="005269D8">
            <w:pPr>
              <w:jc w:val="center"/>
              <w:rPr>
                <w:kern w:val="2"/>
                <w14:ligatures w14:val="standardContextual"/>
              </w:rPr>
            </w:pPr>
          </w:p>
        </w:tc>
      </w:tr>
    </w:tbl>
    <w:p w14:paraId="0FFAACA7" w14:textId="0AF7A48F" w:rsidR="00965F96" w:rsidRDefault="00965F96" w:rsidP="007D51EB">
      <w:pPr>
        <w:tabs>
          <w:tab w:val="left" w:pos="5100"/>
        </w:tabs>
        <w:spacing w:after="0" w:line="240" w:lineRule="auto"/>
        <w:jc w:val="both"/>
        <w:rPr>
          <w:rFonts w:ascii="Arial" w:eastAsia="Times New Roman" w:hAnsi="Arial" w:cs="Arial"/>
          <w:b/>
          <w:kern w:val="0"/>
          <w:lang w:eastAsia="es-MX"/>
          <w14:ligatures w14:val="none"/>
        </w:rPr>
      </w:pPr>
    </w:p>
    <w:p w14:paraId="4110A6B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5C8727C" w14:textId="688FAD3A" w:rsidR="000A2E48"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ota: La partidas adjudicada deberá ser entregada posterior a la entrega de la orden de compra, en un plazo no mayor a </w:t>
      </w:r>
      <w:r w:rsidR="005269D8">
        <w:rPr>
          <w:rFonts w:ascii="Calibri" w:eastAsia="Times New Roman" w:hAnsi="Calibri" w:cs="Times New Roman"/>
          <w:b/>
          <w:kern w:val="0"/>
          <w:lang w:eastAsia="es-MX"/>
          <w14:ligatures w14:val="none"/>
        </w:rPr>
        <w:t xml:space="preserve">05 </w:t>
      </w:r>
      <w:r w:rsidR="00522C2D" w:rsidRPr="00522C2D">
        <w:rPr>
          <w:rFonts w:ascii="Calibri" w:eastAsia="Times New Roman" w:hAnsi="Calibri" w:cs="Times New Roman"/>
          <w:b/>
          <w:kern w:val="0"/>
          <w:lang w:eastAsia="es-MX"/>
          <w14:ligatures w14:val="none"/>
        </w:rPr>
        <w:t>días Después de la convocatoria concluida en el domicilio calle Constitución Oriente no. 157, Int. B, en el Municipio de Tlajomulco de Zúñiga, Jalisco, La compra de lo adjudicado no será mayor de acuerdo con el tope presupuestal del ejercicio en curs</w:t>
      </w:r>
      <w:r w:rsidR="00D36162">
        <w:rPr>
          <w:rFonts w:ascii="Calibri" w:eastAsia="Times New Roman" w:hAnsi="Calibri" w:cs="Times New Roman"/>
          <w:b/>
          <w:kern w:val="0"/>
          <w:lang w:eastAsia="es-MX"/>
          <w14:ligatures w14:val="none"/>
        </w:rPr>
        <w:t>o.</w:t>
      </w:r>
    </w:p>
    <w:p w14:paraId="000B4517" w14:textId="77777777" w:rsidR="000A2E48" w:rsidRDefault="000A2E48" w:rsidP="00522C2D">
      <w:pPr>
        <w:spacing w:after="0" w:line="240" w:lineRule="auto"/>
        <w:jc w:val="both"/>
        <w:rPr>
          <w:rFonts w:ascii="Calibri" w:eastAsia="Times New Roman" w:hAnsi="Calibri" w:cs="Times New Roman"/>
          <w:b/>
          <w:kern w:val="0"/>
          <w:lang w:eastAsia="es-MX"/>
          <w14:ligatures w14:val="none"/>
        </w:rPr>
      </w:pPr>
    </w:p>
    <w:p w14:paraId="61E0DB97" w14:textId="77777777" w:rsidR="009D10FA" w:rsidRDefault="009D10FA" w:rsidP="005269D8">
      <w:pPr>
        <w:spacing w:after="0" w:line="240" w:lineRule="auto"/>
        <w:rPr>
          <w:rFonts w:ascii="Calibri" w:eastAsia="Times New Roman" w:hAnsi="Calibri" w:cs="Times New Roman"/>
          <w:b/>
          <w:kern w:val="0"/>
          <w:sz w:val="28"/>
          <w:szCs w:val="28"/>
          <w:lang w:eastAsia="es-MX"/>
          <w14:ligatures w14:val="none"/>
        </w:rPr>
      </w:pPr>
    </w:p>
    <w:p w14:paraId="371894C0" w14:textId="2272E64E" w:rsidR="009D10FA" w:rsidRDefault="009D10FA" w:rsidP="00522C2D">
      <w:pPr>
        <w:spacing w:after="0" w:line="240" w:lineRule="auto"/>
        <w:jc w:val="center"/>
        <w:rPr>
          <w:rFonts w:ascii="Calibri" w:eastAsia="Times New Roman" w:hAnsi="Calibri" w:cs="Times New Roman"/>
          <w:b/>
          <w:kern w:val="0"/>
          <w:sz w:val="28"/>
          <w:szCs w:val="28"/>
          <w:lang w:eastAsia="es-MX"/>
          <w14:ligatures w14:val="none"/>
        </w:rPr>
      </w:pPr>
    </w:p>
    <w:p w14:paraId="405BA94C" w14:textId="7D86CAA2"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39293" w14:textId="77777777" w:rsidR="005D7990" w:rsidRDefault="005D7990">
      <w:pPr>
        <w:spacing w:after="0" w:line="240" w:lineRule="auto"/>
      </w:pPr>
      <w:r>
        <w:separator/>
      </w:r>
    </w:p>
  </w:endnote>
  <w:endnote w:type="continuationSeparator" w:id="0">
    <w:p w14:paraId="7FDA9F67" w14:textId="77777777" w:rsidR="005D7990" w:rsidRDefault="005D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77777777" w:rsidR="00AA6861" w:rsidRPr="00E22090" w:rsidRDefault="007060D6">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4BCFE" w14:textId="77777777" w:rsidR="005D7990" w:rsidRDefault="005D7990">
      <w:pPr>
        <w:spacing w:after="0" w:line="240" w:lineRule="auto"/>
      </w:pPr>
      <w:r>
        <w:separator/>
      </w:r>
    </w:p>
  </w:footnote>
  <w:footnote w:type="continuationSeparator" w:id="0">
    <w:p w14:paraId="108587F4" w14:textId="77777777" w:rsidR="005D7990" w:rsidRDefault="005D7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7777777"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06F10"/>
    <w:multiLevelType w:val="hybridMultilevel"/>
    <w:tmpl w:val="B9380A4E"/>
    <w:lvl w:ilvl="0" w:tplc="D8DC13E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047541"/>
    <w:multiLevelType w:val="hybridMultilevel"/>
    <w:tmpl w:val="3F643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52830742">
    <w:abstractNumId w:val="0"/>
  </w:num>
  <w:num w:numId="2" w16cid:durableId="101003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5F96"/>
    <w:rsid w:val="00093C5E"/>
    <w:rsid w:val="000A2E48"/>
    <w:rsid w:val="000B4B7B"/>
    <w:rsid w:val="000F3CCC"/>
    <w:rsid w:val="00212C1D"/>
    <w:rsid w:val="00247064"/>
    <w:rsid w:val="002611D9"/>
    <w:rsid w:val="002E5453"/>
    <w:rsid w:val="00381D89"/>
    <w:rsid w:val="00387C65"/>
    <w:rsid w:val="003A411C"/>
    <w:rsid w:val="003C4DD6"/>
    <w:rsid w:val="004005BA"/>
    <w:rsid w:val="00403C56"/>
    <w:rsid w:val="00445078"/>
    <w:rsid w:val="00485882"/>
    <w:rsid w:val="004B4585"/>
    <w:rsid w:val="004E28FA"/>
    <w:rsid w:val="00503180"/>
    <w:rsid w:val="00522C2D"/>
    <w:rsid w:val="005269D8"/>
    <w:rsid w:val="00566DFA"/>
    <w:rsid w:val="00571818"/>
    <w:rsid w:val="005C16A8"/>
    <w:rsid w:val="005C7DD5"/>
    <w:rsid w:val="005D7990"/>
    <w:rsid w:val="0060503C"/>
    <w:rsid w:val="0061062B"/>
    <w:rsid w:val="00620C56"/>
    <w:rsid w:val="006750F5"/>
    <w:rsid w:val="006D2D77"/>
    <w:rsid w:val="006F512B"/>
    <w:rsid w:val="007060D6"/>
    <w:rsid w:val="00732427"/>
    <w:rsid w:val="007D4F87"/>
    <w:rsid w:val="007D51EB"/>
    <w:rsid w:val="007F46A8"/>
    <w:rsid w:val="008015B9"/>
    <w:rsid w:val="008130D4"/>
    <w:rsid w:val="00825FC4"/>
    <w:rsid w:val="00835BE8"/>
    <w:rsid w:val="00887B3C"/>
    <w:rsid w:val="008B0DBD"/>
    <w:rsid w:val="00925080"/>
    <w:rsid w:val="0093195C"/>
    <w:rsid w:val="00946041"/>
    <w:rsid w:val="00965F96"/>
    <w:rsid w:val="00980163"/>
    <w:rsid w:val="009C1D5B"/>
    <w:rsid w:val="009D10FA"/>
    <w:rsid w:val="00AA6861"/>
    <w:rsid w:val="00B12683"/>
    <w:rsid w:val="00B21E98"/>
    <w:rsid w:val="00B92E1F"/>
    <w:rsid w:val="00B93FC7"/>
    <w:rsid w:val="00BC23B2"/>
    <w:rsid w:val="00BD2FEC"/>
    <w:rsid w:val="00C43475"/>
    <w:rsid w:val="00C51347"/>
    <w:rsid w:val="00C60A2B"/>
    <w:rsid w:val="00C926D4"/>
    <w:rsid w:val="00CC48A2"/>
    <w:rsid w:val="00D36162"/>
    <w:rsid w:val="00D81FF5"/>
    <w:rsid w:val="00D91281"/>
    <w:rsid w:val="00DE1968"/>
    <w:rsid w:val="00DE34B5"/>
    <w:rsid w:val="00E452E2"/>
    <w:rsid w:val="00EF5440"/>
    <w:rsid w:val="00F0052D"/>
    <w:rsid w:val="00FB2CDF"/>
    <w:rsid w:val="00FB5D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732427"/>
    <w:pPr>
      <w:ind w:left="720"/>
      <w:contextualSpacing/>
    </w:pPr>
    <w:rPr>
      <w:kern w:val="0"/>
      <w14:ligatures w14:val="none"/>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73242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1945</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4</cp:revision>
  <cp:lastPrinted>2024-12-06T18:46:00Z</cp:lastPrinted>
  <dcterms:created xsi:type="dcterms:W3CDTF">2025-05-02T16:58:00Z</dcterms:created>
  <dcterms:modified xsi:type="dcterms:W3CDTF">2025-05-02T17:56:00Z</dcterms:modified>
</cp:coreProperties>
</file>